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7.png" ContentType="image/png"/>
  <Override PartName="/word/media/rId168.png" ContentType="image/png"/>
  <Override PartName="/word/media/rId171.png" ContentType="image/png"/>
  <Override PartName="/word/media/rId174.png" ContentType="image/png"/>
  <Override PartName="/word/media/rId180.png" ContentType="image/png"/>
  <Override PartName="/word/media/rId183.png" ContentType="image/png"/>
  <Override PartName="/word/media/rId165.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examined</w:t>
      </w:r>
      <w:r>
        <w:t xml:space="preserve"> </w:t>
      </w:r>
      <w:r>
        <w:t xml:space="preserve">immigrant-containing</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couples</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especially</w:t>
      </w:r>
      <w:r>
        <w:t xml:space="preserve"> </w:t>
      </w:r>
      <w:r>
        <w:t xml:space="preserve">regarding</w:t>
      </w:r>
      <w:r>
        <w:t xml:space="preserve"> </w:t>
      </w:r>
      <w:r>
        <w:t xml:space="preserve">their</w:t>
      </w:r>
      <w:r>
        <w:t xml:space="preserve"> </w:t>
      </w:r>
      <w:r>
        <w:t xml:space="preserve">relationship</w:t>
      </w:r>
      <w:r>
        <w:t xml:space="preserve"> </w:t>
      </w:r>
      <w:r>
        <w:t xml:space="preserve">to</w:t>
      </w:r>
      <w:r>
        <w:t xml:space="preserve"> </w:t>
      </w:r>
      <w:r>
        <w:t xml:space="preserve">LGB</w:t>
      </w:r>
      <w:r>
        <w:t xml:space="preserve"> </w:t>
      </w:r>
      <w:r>
        <w:t xml:space="preserve">policy.</w:t>
      </w:r>
      <w:r>
        <w:t xml:space="preserve"> </w:t>
      </w:r>
      <w:r>
        <w:t xml:space="preserve">Are</w:t>
      </w:r>
      <w:r>
        <w:t xml:space="preserve"> </w:t>
      </w:r>
      <w:r>
        <w:t xml:space="preserve">these</w:t>
      </w:r>
      <w:r>
        <w:t xml:space="preserve"> </w:t>
      </w:r>
      <w:r>
        <w:t xml:space="preserve">immigrants</w:t>
      </w:r>
      <w:r>
        <w:t xml:space="preserve"> </w:t>
      </w:r>
      <w:r>
        <w:t xml:space="preserve">disadvantaged</w:t>
      </w:r>
      <w:r>
        <w:t xml:space="preserve"> </w:t>
      </w:r>
      <w:r>
        <w:t xml:space="preserve">and</w:t>
      </w:r>
      <w:r>
        <w:t xml:space="preserve"> </w:t>
      </w:r>
      <w:r>
        <w:t xml:space="preserve">fleeing</w:t>
      </w:r>
      <w:r>
        <w:t xml:space="preserve"> </w:t>
      </w:r>
      <w:r>
        <w:t xml:space="preserve">anti-LGB</w:t>
      </w:r>
      <w:r>
        <w:t xml:space="preserve"> </w:t>
      </w:r>
      <w:r>
        <w:t xml:space="preserve">contexts,</w:t>
      </w:r>
      <w:r>
        <w:t xml:space="preserve"> </w:t>
      </w:r>
      <w:r>
        <w:t xml:space="preserve">or</w:t>
      </w:r>
      <w:r>
        <w:t xml:space="preserve"> </w:t>
      </w:r>
      <w:r>
        <w:t xml:space="preserve">empowered</w:t>
      </w:r>
      <w:r>
        <w:t xml:space="preserve"> </w:t>
      </w:r>
      <w:r>
        <w:t xml:space="preserve">to</w:t>
      </w:r>
      <w:r>
        <w:t xml:space="preserve"> </w:t>
      </w:r>
      <w:r>
        <w:t xml:space="preserve">migrate</w:t>
      </w:r>
      <w:r>
        <w:t xml:space="preserve"> </w:t>
      </w:r>
      <w:r>
        <w:t xml:space="preserve">by</w:t>
      </w:r>
      <w:r>
        <w:t xml:space="preserve"> </w:t>
      </w:r>
      <w:r>
        <w:t xml:space="preserve">progressive</w:t>
      </w:r>
      <w:r>
        <w:t xml:space="preserve"> </w:t>
      </w:r>
      <w:r>
        <w:t xml:space="preserve">origin-country</w:t>
      </w:r>
      <w:r>
        <w:t xml:space="preserve"> </w:t>
      </w:r>
      <w:r>
        <w:t xml:space="preserve">LGB</w:t>
      </w:r>
      <w:r>
        <w:t xml:space="preserve"> </w:t>
      </w:r>
      <w:r>
        <w:t xml:space="preserve">policy?</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this</w:t>
      </w:r>
      <w:r>
        <w:t xml:space="preserve"> </w:t>
      </w:r>
      <w:r>
        <w:t xml:space="preserve">study</w:t>
      </w:r>
      <w:r>
        <w:t xml:space="preserve"> </w:t>
      </w:r>
      <w:r>
        <w:t xml:space="preserve">assesses</w:t>
      </w:r>
      <w:r>
        <w:t xml:space="preserve"> </w:t>
      </w:r>
      <w:r>
        <w:t xml:space="preserve">and</w:t>
      </w:r>
      <w:r>
        <w:t xml:space="preserve"> </w:t>
      </w:r>
      <w:r>
        <w:t xml:space="preserve">characterizes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those</w:t>
      </w:r>
      <w:r>
        <w:t xml:space="preserve"> </w:t>
      </w:r>
      <w:r>
        <w:t xml:space="preserve">in</w:t>
      </w:r>
      <w:r>
        <w:t xml:space="preserve"> </w:t>
      </w:r>
      <w:r>
        <w:t xml:space="preserve">different-sex</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among</w:t>
      </w:r>
      <w:r>
        <w:t xml:space="preserve"> </w:t>
      </w:r>
      <w:r>
        <w:t xml:space="preserve">immigrants</w:t>
      </w:r>
      <w:r>
        <w:t xml:space="preserve"> </w:t>
      </w:r>
      <w:r>
        <w:t xml:space="preserve">in</w:t>
      </w:r>
      <w:r>
        <w:t xml:space="preserve"> </w:t>
      </w:r>
      <w:r>
        <w:t xml:space="preserve">the</w:t>
      </w:r>
      <w:r>
        <w:t xml:space="preserve"> </w:t>
      </w:r>
      <w:r>
        <w:t xml:space="preserve">U.S.</w:t>
      </w:r>
      <w:r>
        <w:t xml:space="preserve"> </w:t>
      </w:r>
      <w:r>
        <w:t xml:space="preserve">They</w:t>
      </w:r>
      <w:r>
        <w:t xml:space="preserve"> </w:t>
      </w:r>
      <w:r>
        <w:t xml:space="preserve">also</w:t>
      </w:r>
      <w:r>
        <w:t xml:space="preserve"> </w:t>
      </w:r>
      <w:r>
        <w:t xml:space="preserve">tend</w:t>
      </w:r>
      <w:r>
        <w:t xml:space="preserve"> </w:t>
      </w:r>
      <w:r>
        <w:t xml:space="preserve">to</w:t>
      </w:r>
      <w:r>
        <w:t xml:space="preserve"> </w:t>
      </w:r>
      <w:r>
        <w:t xml:space="preserve">be</w:t>
      </w:r>
      <w:r>
        <w:t xml:space="preserve"> </w:t>
      </w:r>
      <w:r>
        <w:t xml:space="preserve">more</w:t>
      </w:r>
      <w:r>
        <w:t xml:space="preserve"> </w:t>
      </w:r>
      <w:r>
        <w:t xml:space="preserve">highly</w:t>
      </w:r>
      <w:r>
        <w:t xml:space="preserve"> </w:t>
      </w:r>
      <w:r>
        <w:t xml:space="preserve">educated,</w:t>
      </w:r>
      <w:r>
        <w:t xml:space="preserve"> </w:t>
      </w:r>
      <w:r>
        <w:t xml:space="preserve">work</w:t>
      </w:r>
      <w:r>
        <w:t xml:space="preserve"> </w:t>
      </w:r>
      <w:r>
        <w:t xml:space="preserve">in</w:t>
      </w:r>
      <w:r>
        <w:t xml:space="preserve"> </w:t>
      </w:r>
      <w:r>
        <w:t xml:space="preserve">more</w:t>
      </w:r>
      <w:r>
        <w:t xml:space="preserve"> </w:t>
      </w:r>
      <w:r>
        <w:t xml:space="preserve">prestigious</w:t>
      </w:r>
      <w:r>
        <w:t xml:space="preserve"> </w:t>
      </w:r>
      <w:r>
        <w:t xml:space="preserve">occupations,</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fixed-effect</w:t>
      </w:r>
      <w:r>
        <w:t xml:space="preserve"> </w:t>
      </w:r>
      <w:r>
        <w:t xml:space="preserve">models</w:t>
      </w:r>
      <w:r>
        <w:t xml:space="preserve"> </w:t>
      </w:r>
      <w:r>
        <w:t xml:space="preserve">show</w:t>
      </w:r>
      <w:r>
        <w:t xml:space="preserve"> </w:t>
      </w:r>
      <w:r>
        <w:t xml:space="preserve">that</w:t>
      </w:r>
      <w:r>
        <w:t xml:space="preserve"> </w:t>
      </w:r>
      <w:r>
        <w:t xml:space="preserve">higher</w:t>
      </w:r>
      <w:r>
        <w:t xml:space="preserve"> </w:t>
      </w:r>
      <w:r>
        <w:t xml:space="preserve">proportions</w:t>
      </w:r>
      <w:r>
        <w:t xml:space="preserve"> </w:t>
      </w:r>
      <w:r>
        <w:t xml:space="preserve">of</w:t>
      </w:r>
      <w:r>
        <w:t xml:space="preserve"> </w:t>
      </w:r>
      <w:r>
        <w:t xml:space="preserve">these</w:t>
      </w:r>
      <w:r>
        <w:t xml:space="preserve"> </w:t>
      </w:r>
      <w:r>
        <w:t xml:space="preserve">immigrants</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and</w:t>
      </w:r>
      <w:r>
        <w:t xml:space="preserve"> </w:t>
      </w:r>
      <w:r>
        <w:t xml:space="preserve">they</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fleeing repressive contexts and seeking entry into the U.S. and other countries in the Global North</w:t>
      </w:r>
      <w:r>
        <w:t xml:space="preserve"> </w:t>
      </w:r>
      <w:r>
        <w:t xml:space="preserve">(Akin, 2017; Dhoest, 2019; Giametta, 2020a; Karimi, 2020; Murray, 2014; Saleh, 2020; Sam &amp; Finley, 2015)</w:t>
      </w:r>
      <w:r>
        <w:t xml:space="preserve">.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Longstanding theories of migration help inform our expectations for migrants in same-sex couples. Neoclassical economic theory posits that potential migrants engage in cost-benefit analyses when deciding whether and where to migrate</w:t>
      </w:r>
      <w:r>
        <w:t xml:space="preserve"> </w:t>
      </w:r>
      <w:r>
        <w:t xml:space="preserve">(Borjas, 1989; Sjaastad, 1962)</w:t>
      </w:r>
      <w:r>
        <w:t xml:space="preserve">.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w:t>
      </w:r>
    </w:p>
    <w:p>
      <w:pPr>
        <w:pStyle w:val="BodyText"/>
      </w:pPr>
      <w:r>
        <w:t xml:space="preserve">Based on these theories and existing studies, are LGB immigrants coming from generally repressive or progressive contexts? Despite a lack of representative research on this population, there is evidence to support both hypotheses. On the one hand, much queer migration research reflects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Indeed, numerous studies characterize migrants in same-sex relationships as largely escaping repressive contexts</w:t>
      </w:r>
      <w:r>
        <w:t xml:space="preserve"> </w:t>
      </w:r>
      <w:r>
        <w:t xml:space="preserve">(Akin, 2017; Dhoest, 2019; Giametta, 2020a; Murray, 2014; Saleh, 2020; Sam &amp; Finley, 2015)</w:t>
      </w:r>
      <w:r>
        <w:t xml:space="preserve">. Most scholarship in this area has focused on asylum processes, especially since the U.N. guidance note in 2008 and then-President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Another strand of research documents how people in more oppressive contexts seek out partners in more equitable locations who can then sponsor them through the immigration process</w:t>
      </w:r>
      <w:r>
        <w:t xml:space="preserve"> </w:t>
      </w:r>
      <w:r>
        <w:t xml:space="preserve">(Carrillo, 2018; Corey-Boulet, 2019; Kong, 2010)</w:t>
      </w:r>
      <w:r>
        <w:t xml:space="preserve">. Moreover, neoclassical economic theory might suggest that LGB individuals in repressive contexts may see especially great returns to migration to progressive destinations, and under NELM LGB family members may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suggest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two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w:t>
      </w:r>
    </w:p>
    <w:p>
      <w:pPr>
        <w:pStyle w:val="BodyText"/>
      </w:pPr>
      <w:r>
        <w:t xml:space="preserve">Traditional migration theory also provides reasons why we may see migration from progressive countries.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with different-sex partners. In addition,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37,980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3"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The coefficient for state policy become less important in Model 7, whereas origin-country score retains its effect. This means that,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p>
      <w:pPr>
        <w:pStyle w:val="BodyText"/>
      </w:pPr>
      <w:r>
        <w:t xml:space="preserve">Our results hold up to a variety of robustness checks presented in Section C of the Online Appendix. These include hypothetically high levels of sex misreporting; weighting by the relative size of a country’s immigrant population in the U.S.; and restricting the sample to married, one-immigrant, or two-immigrant couples.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w:t>
      </w:r>
    </w:p>
    <w:bookmarkEnd w:id="32"/>
    <w:bookmarkEnd w:id="33"/>
    <w:bookmarkStart w:id="34"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 nascent area in migration studies, highlighting the role of the state and the salience of sexuality in conditioning migratory patterns</w:t>
      </w:r>
      <w:r>
        <w:t xml:space="preserve"> </w:t>
      </w:r>
      <w:r>
        <w:t xml:space="preserve">(Cantú, 2009; Carrillo, 2018; Fitzgerald et al., 2014)</w:t>
      </w:r>
      <w:r>
        <w:t xml:space="preserve">.</w:t>
      </w:r>
    </w:p>
    <w:p>
      <w:pPr>
        <w:pStyle w:val="BodyText"/>
      </w:pPr>
      <w:r>
        <w:t xml:space="preserve">To address our research questions, we take advantage of an underutilized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Choi, 2022;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although many queer migrants are fleeing repression, the typical LGB, cohabiting migrant in the U.S. is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couples are coming from environments that are increasingly more open. This is true even after accounting for factors from conventional migration models.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those affected by climate policy.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Results in the Online Appendix show stronger results for containing one U.S.-born and one immigrant member, compared to couples with two immigrants.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1</w:t>
      </w:r>
      <w:r>
        <w:t xml:space="preserve"> </w:t>
      </w:r>
      <w:r>
        <w:t xml:space="preserve">suggests that responses are not a function of culture itself, future work on single immigrants is needed to understand the generalizability of our findings.</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4"/>
    <w:bookmarkStart w:id="163" w:name="references"/>
    <w:p>
      <w:pPr>
        <w:pStyle w:val="Heading1"/>
      </w:pPr>
      <w:r>
        <w:t xml:space="preserve">References</w:t>
      </w:r>
    </w:p>
    <w:p>
      <w:pPr>
        <w:pStyle w:val="FirstParagraph"/>
      </w:pPr>
    </w:p>
    <w:bookmarkStart w:id="162" w:name="refs"/>
    <w:bookmarkStart w:id="35"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5"/>
    <w:bookmarkStart w:id="36"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3">
        <w:r>
          <w:rPr>
            <w:rStyle w:val="Hyperlink"/>
          </w:rPr>
          <w:t xml:space="preserve">https://doi.org/10.1177/0192513X12464872</w:t>
        </w:r>
      </w:hyperlink>
    </w:p>
    <w:bookmarkEnd w:id="44"/>
    <w:bookmarkStart w:id="46"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5">
        <w:r>
          <w:rPr>
            <w:rStyle w:val="Hyperlink"/>
          </w:rPr>
          <w:t xml:space="preserve">https://doi.org/10.1007/978-94-007-5512-3</w:t>
        </w:r>
      </w:hyperlink>
    </w:p>
    <w:bookmarkEnd w:id="46"/>
    <w:bookmarkStart w:id="47"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7"/>
    <w:bookmarkStart w:id="49"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8">
        <w:r>
          <w:rPr>
            <w:rStyle w:val="Hyperlink"/>
          </w:rPr>
          <w:t xml:space="preserve">https://doi.org/10.1007/978-3-030-10910-3_11</w:t>
        </w:r>
      </w:hyperlink>
    </w:p>
    <w:bookmarkEnd w:id="49"/>
    <w:bookmarkStart w:id="50"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0"/>
    <w:bookmarkStart w:id="52"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1">
        <w:r>
          <w:rPr>
            <w:rStyle w:val="Hyperlink"/>
          </w:rPr>
          <w:t xml:space="preserve">https://doi.org/10.1080/00036846.2016.1251565</w:t>
        </w:r>
      </w:hyperlink>
    </w:p>
    <w:bookmarkEnd w:id="52"/>
    <w:bookmarkStart w:id="54"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3">
        <w:r>
          <w:rPr>
            <w:rStyle w:val="Hyperlink"/>
          </w:rPr>
          <w:t xml:space="preserve">https://doi.org/10.1111/j.1467-954X.2009.01864.x</w:t>
        </w:r>
      </w:hyperlink>
    </w:p>
    <w:bookmarkEnd w:id="54"/>
    <w:bookmarkStart w:id="55"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5"/>
    <w:bookmarkStart w:id="56"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6"/>
    <w:bookmarkStart w:id="57"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7"/>
    <w:bookmarkStart w:id="59"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8">
        <w:r>
          <w:rPr>
            <w:rStyle w:val="Hyperlink"/>
          </w:rPr>
          <w:t xml:space="preserve">https://doi.org/10.2307/2546424</w:t>
        </w:r>
      </w:hyperlink>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2"/>
    <w:bookmarkStart w:id="6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3"/>
    <w:bookmarkStart w:id="64"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4"/>
    <w:bookmarkStart w:id="66"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5">
        <w:r>
          <w:rPr>
            <w:rStyle w:val="Hyperlink"/>
          </w:rPr>
          <w:t xml:space="preserve">https://doi.org/10.1177/00380385211073237</w:t>
        </w:r>
      </w:hyperlink>
    </w:p>
    <w:bookmarkEnd w:id="66"/>
    <w:bookmarkStart w:id="68"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7">
        <w:r>
          <w:rPr>
            <w:rStyle w:val="Hyperlink"/>
          </w:rPr>
          <w:t xml:space="preserve">https://doi.org/10.1111/kykl.12206</w:t>
        </w:r>
      </w:hyperlink>
    </w:p>
    <w:bookmarkEnd w:id="68"/>
    <w:bookmarkStart w:id="69"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69"/>
    <w:bookmarkStart w:id="70"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0"/>
    <w:bookmarkStart w:id="72"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1">
        <w:r>
          <w:rPr>
            <w:rStyle w:val="Hyperlink"/>
          </w:rPr>
          <w:t xml:space="preserve">https://doi.org/10.1186/s40878-020-00210-4</w:t>
        </w:r>
      </w:hyperlink>
    </w:p>
    <w:bookmarkEnd w:id="72"/>
    <w:bookmarkStart w:id="74"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3">
        <w:r>
          <w:rPr>
            <w:rStyle w:val="Hyperlink"/>
          </w:rPr>
          <w:t xml:space="preserve">https://doi.org/10.1080/1369183X.2017.1420466</w:t>
        </w:r>
      </w:hyperlink>
    </w:p>
    <w:bookmarkEnd w:id="74"/>
    <w:bookmarkStart w:id="76"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5">
        <w:r>
          <w:rPr>
            <w:rStyle w:val="Hyperlink"/>
          </w:rPr>
          <w:t xml:space="preserve">https://doi.org/10.1016/j.geoforum.2015.11.007</w:t>
        </w:r>
      </w:hyperlink>
    </w:p>
    <w:bookmarkEnd w:id="76"/>
    <w:bookmarkStart w:id="78"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7">
        <w:r>
          <w:rPr>
            <w:rStyle w:val="Hyperlink"/>
          </w:rPr>
          <w:t xml:space="preserve">https://doi.org/10.1177/0011392119850231</w:t>
        </w:r>
      </w:hyperlink>
    </w:p>
    <w:bookmarkEnd w:id="78"/>
    <w:bookmarkStart w:id="79"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9"/>
    <w:bookmarkStart w:id="81"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0">
        <w:r>
          <w:rPr>
            <w:rStyle w:val="Hyperlink"/>
          </w:rPr>
          <w:t xml:space="preserve">https://doi.org/10.1257/aer.20130954</w:t>
        </w:r>
      </w:hyperlink>
    </w:p>
    <w:bookmarkEnd w:id="81"/>
    <w:bookmarkStart w:id="83"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2">
        <w:r>
          <w:rPr>
            <w:rStyle w:val="Hyperlink"/>
          </w:rPr>
          <w:t xml:space="preserve">https://doi.org/10.1146/annurev-soc-121919-054639</w:t>
        </w:r>
      </w:hyperlink>
    </w:p>
    <w:bookmarkEnd w:id="83"/>
    <w:bookmarkStart w:id="85"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4">
        <w:r>
          <w:rPr>
            <w:rStyle w:val="Hyperlink"/>
          </w:rPr>
          <w:t xml:space="preserve">https://doi.org/10.1017/S0043887114000112</w:t>
        </w:r>
      </w:hyperlink>
    </w:p>
    <w:bookmarkEnd w:id="85"/>
    <w:bookmarkStart w:id="87"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6">
        <w:r>
          <w:rPr>
            <w:rStyle w:val="Hyperlink"/>
          </w:rPr>
          <w:t xml:space="preserve">https://doi.org/10.1177/1065912915621175</w:t>
        </w:r>
      </w:hyperlink>
    </w:p>
    <w:bookmarkEnd w:id="87"/>
    <w:bookmarkStart w:id="88"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88"/>
    <w:bookmarkStart w:id="89"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9"/>
    <w:bookmarkStart w:id="91"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0">
        <w:r>
          <w:rPr>
            <w:rStyle w:val="Hyperlink"/>
          </w:rPr>
          <w:t xml:space="preserve">https://doi.org/10.1080/1369183X.2018.1500172</w:t>
        </w:r>
      </w:hyperlink>
    </w:p>
    <w:bookmarkEnd w:id="91"/>
    <w:bookmarkStart w:id="92"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2"/>
    <w:bookmarkStart w:id="93"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3"/>
    <w:bookmarkStart w:id="94"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4"/>
    <w:bookmarkStart w:id="96"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5">
        <w:r>
          <w:rPr>
            <w:rStyle w:val="Hyperlink"/>
          </w:rPr>
          <w:t xml:space="preserve">https://doi.org/10.1080/14649360902853262</w:t>
        </w:r>
      </w:hyperlink>
    </w:p>
    <w:bookmarkEnd w:id="96"/>
    <w:bookmarkStart w:id="97"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7"/>
    <w:bookmarkStart w:id="99"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98">
        <w:r>
          <w:rPr>
            <w:rStyle w:val="Hyperlink"/>
          </w:rPr>
          <w:t xml:space="preserve">https://doi.org/10.7551/mitpress/3303.001.0001</w:t>
        </w:r>
      </w:hyperlink>
    </w:p>
    <w:bookmarkEnd w:id="99"/>
    <w:bookmarkStart w:id="100"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0"/>
    <w:bookmarkStart w:id="101"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1"/>
    <w:bookmarkStart w:id="102"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2"/>
    <w:bookmarkStart w:id="103"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3"/>
    <w:bookmarkStart w:id="104"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4"/>
    <w:bookmarkStart w:id="106"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05">
        <w:r>
          <w:rPr>
            <w:rStyle w:val="Hyperlink"/>
          </w:rPr>
          <w:t xml:space="preserve">https://doi.org/10.4324/9780203849200</w:t>
        </w:r>
      </w:hyperlink>
    </w:p>
    <w:bookmarkEnd w:id="106"/>
    <w:bookmarkStart w:id="107"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07"/>
    <w:bookmarkStart w:id="108"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08"/>
    <w:bookmarkStart w:id="110"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09">
        <w:r>
          <w:rPr>
            <w:rStyle w:val="Hyperlink"/>
          </w:rPr>
          <w:t xml:space="preserve">https://doi.org/10.1177/1363460714552251</w:t>
        </w:r>
      </w:hyperlink>
    </w:p>
    <w:bookmarkEnd w:id="110"/>
    <w:bookmarkStart w:id="112"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1">
        <w:r>
          <w:rPr>
            <w:rStyle w:val="Hyperlink"/>
          </w:rPr>
          <w:t xml:space="preserve">https://doi.org/10.1215/10642684-2007-029</w:t>
        </w:r>
      </w:hyperlink>
    </w:p>
    <w:bookmarkEnd w:id="112"/>
    <w:bookmarkStart w:id="113"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3"/>
    <w:bookmarkStart w:id="115"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4">
        <w:r>
          <w:rPr>
            <w:rStyle w:val="Hyperlink"/>
          </w:rPr>
          <w:t xml:space="preserve">https://doi.org/10.1080/17450100903195318</w:t>
        </w:r>
      </w:hyperlink>
    </w:p>
    <w:bookmarkEnd w:id="115"/>
    <w:bookmarkStart w:id="116"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16"/>
    <w:bookmarkStart w:id="118"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17">
        <w:r>
          <w:rPr>
            <w:rStyle w:val="Hyperlink"/>
          </w:rPr>
          <w:t xml:space="preserve">https://doi.org/10.1007/s12122-020-09305-4</w:t>
        </w:r>
      </w:hyperlink>
    </w:p>
    <w:bookmarkEnd w:id="118"/>
    <w:bookmarkStart w:id="120"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19">
        <w:r>
          <w:rPr>
            <w:rStyle w:val="Hyperlink"/>
          </w:rPr>
          <w:t xml:space="preserve">https://doi.org/10.2307/3644186</w:t>
        </w:r>
      </w:hyperlink>
    </w:p>
    <w:bookmarkEnd w:id="120"/>
    <w:bookmarkStart w:id="121"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1"/>
    <w:bookmarkStart w:id="123"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2">
        <w:r>
          <w:rPr>
            <w:rStyle w:val="Hyperlink"/>
          </w:rPr>
          <w:t xml:space="preserve">https://doi.org/10.2139/ssrn.1994531</w:t>
        </w:r>
      </w:hyperlink>
    </w:p>
    <w:bookmarkEnd w:id="123"/>
    <w:bookmarkStart w:id="124"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4"/>
    <w:bookmarkStart w:id="125"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5"/>
    <w:bookmarkStart w:id="126"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26"/>
    <w:bookmarkStart w:id="127"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27"/>
    <w:bookmarkStart w:id="128"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28"/>
    <w:bookmarkStart w:id="130"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29">
        <w:r>
          <w:rPr>
            <w:rStyle w:val="Hyperlink"/>
          </w:rPr>
          <w:t xml:space="preserve">https://doi.org/10.1080/13691058.2016.1184314</w:t>
        </w:r>
      </w:hyperlink>
    </w:p>
    <w:bookmarkEnd w:id="130"/>
    <w:bookmarkStart w:id="132"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1">
        <w:r>
          <w:rPr>
            <w:rStyle w:val="Hyperlink"/>
          </w:rPr>
          <w:t xml:space="preserve">https://doi.org/10.31235/osf.io/mzuwe</w:t>
        </w:r>
      </w:hyperlink>
    </w:p>
    <w:bookmarkEnd w:id="132"/>
    <w:bookmarkStart w:id="134"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3">
        <w:r>
          <w:rPr>
            <w:rStyle w:val="Hyperlink"/>
          </w:rPr>
          <w:t xml:space="preserve">https://doi.org/10.1093/migration/mnab007</w:t>
        </w:r>
      </w:hyperlink>
    </w:p>
    <w:bookmarkEnd w:id="134"/>
    <w:bookmarkStart w:id="135"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5"/>
    <w:bookmarkStart w:id="137"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36">
        <w:r>
          <w:rPr>
            <w:rStyle w:val="Hyperlink"/>
          </w:rPr>
          <w:t xml:space="preserve">https://doi.org/10.1080/19436149.2020.1704501</w:t>
        </w:r>
      </w:hyperlink>
    </w:p>
    <w:bookmarkEnd w:id="137"/>
    <w:bookmarkStart w:id="139"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38">
        <w:r>
          <w:rPr>
            <w:rStyle w:val="Hyperlink"/>
          </w:rPr>
          <w:t xml:space="preserve">https://doi.org/10.1080/09518398.2015.1017858</w:t>
        </w:r>
      </w:hyperlink>
    </w:p>
    <w:bookmarkEnd w:id="139"/>
    <w:bookmarkStart w:id="141"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0">
        <w:r>
          <w:rPr>
            <w:rStyle w:val="Hyperlink"/>
          </w:rPr>
          <w:t xml:space="preserve">https://doi.org/10.1086/258726</w:t>
        </w:r>
      </w:hyperlink>
    </w:p>
    <w:bookmarkEnd w:id="141"/>
    <w:bookmarkStart w:id="142"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42"/>
    <w:bookmarkStart w:id="143"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3"/>
    <w:bookmarkStart w:id="144"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4"/>
    <w:bookmarkStart w:id="14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5"/>
    <w:bookmarkStart w:id="147"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6">
        <w:r>
          <w:rPr>
            <w:rStyle w:val="Hyperlink"/>
          </w:rPr>
          <w:t xml:space="preserve">https://doi.org/10.1080/1369183X.2019.1690980</w:t>
        </w:r>
      </w:hyperlink>
    </w:p>
    <w:bookmarkEnd w:id="147"/>
    <w:bookmarkStart w:id="149"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48">
        <w:r>
          <w:rPr>
            <w:rStyle w:val="Hyperlink"/>
          </w:rPr>
          <w:t xml:space="preserve">https://doi.org/10.1111/1468-2435.00066</w:t>
        </w:r>
      </w:hyperlink>
    </w:p>
    <w:bookmarkEnd w:id="149"/>
    <w:bookmarkStart w:id="150"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0"/>
    <w:bookmarkStart w:id="151"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1"/>
    <w:bookmarkStart w:id="152"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2"/>
    <w:bookmarkStart w:id="15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3">
        <w:r>
          <w:rPr>
            <w:rStyle w:val="Hyperlink"/>
          </w:rPr>
          <w:t xml:space="preserve">https://doi.org/10.1093/sf/soy030</w:t>
        </w:r>
      </w:hyperlink>
    </w:p>
    <w:bookmarkEnd w:id="154"/>
    <w:bookmarkStart w:id="156"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5">
        <w:r>
          <w:rPr>
            <w:rStyle w:val="Hyperlink"/>
          </w:rPr>
          <w:t xml:space="preserve">https://doi.org/10.1111/lasr.12239</w:t>
        </w:r>
      </w:hyperlink>
    </w:p>
    <w:bookmarkEnd w:id="156"/>
    <w:bookmarkStart w:id="158"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57">
        <w:r>
          <w:rPr>
            <w:rStyle w:val="Hyperlink"/>
          </w:rPr>
          <w:t xml:space="preserve">https://doi.org/10.1177/13634607221103207</w:t>
        </w:r>
      </w:hyperlink>
    </w:p>
    <w:bookmarkEnd w:id="158"/>
    <w:bookmarkStart w:id="160"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59">
        <w:r>
          <w:rPr>
            <w:rStyle w:val="Hyperlink"/>
          </w:rPr>
          <w:t xml:space="preserve">https://doi.org/10.1111/j.1467-8330.2011.00876.x</w:t>
        </w:r>
      </w:hyperlink>
    </w:p>
    <w:bookmarkEnd w:id="160"/>
    <w:bookmarkStart w:id="161"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1"/>
    <w:bookmarkEnd w:id="162"/>
    <w:p>
      <w:r>
        <w:br w:type="page"/>
      </w:r>
    </w:p>
    <w:bookmarkEnd w:id="163"/>
    <w:bookmarkStart w:id="164" w:name="tables"/>
    <w:p>
      <w:pPr>
        <w:pStyle w:val="Heading1"/>
      </w:pPr>
      <w:r>
        <w:t xml:space="preserve">Tables</w:t>
      </w:r>
    </w:p>
    <w:p>
      <w:pPr>
        <w:pStyle w:val="TableCaption"/>
      </w:pPr>
      <w:r>
        <w:t xml:space="preserve">Table 1:</w:t>
      </w:r>
      <w:r>
        <w:t xml:space="preserve"> </w:t>
      </w:r>
      <w:bookmarkStart w:id="9765dd7e-abed-4911-a9f4-75b661708217" w:name="tab:country-tab"/>
      <w:r>
        <w:t xml:space="preserve">Sending countries ranked by proportion immigrant couples with same-sex partners</w:t>
      </w:r>
      <w:bookmarkEnd w:id="9765dd7e-abed-4911-a9f4-75b66170821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c6a254da-1a3a-4805-be3c-a9cedd8f88dc" w:name="tab:state-tab"/>
      <w:r>
        <w:t xml:space="preserve">States ranked by proportion immigrant couples with same-sex partners</w:t>
      </w:r>
      <w:bookmarkEnd w:id="c6a254da-1a3a-4805-be3c-a9cedd8f88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c8e2f9b-6c68-4491-82a2-b4eb5ba9194b" w:name="tab:state-props"/>
      <w:r>
        <w:t xml:space="preserve">Percent same-sex in by country of origin, U.S. state, and survey year.</w:t>
      </w:r>
      <w:bookmarkEnd w:id="1c8e2f9b-6c68-4491-82a2-b4eb5ba9194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0.156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(0.066)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0.109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0.183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0.196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4"/>
    <w:bookmarkStart w:id="186"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6" name="Picture"/>
            <a:graphic>
              <a:graphicData uri="http://schemas.openxmlformats.org/drawingml/2006/picture">
                <pic:pic>
                  <pic:nvPicPr>
                    <pic:cNvPr descr="ssimm_desc_files/figure-docx/total-pop-1.png" id="167" name="Picture"/>
                    <pic:cNvPicPr>
                      <a:picLocks noChangeArrowheads="1" noChangeAspect="1"/>
                    </pic:cNvPicPr>
                  </pic:nvPicPr>
                  <pic:blipFill>
                    <a:blip r:embed="rId16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69" name="Picture"/>
            <a:graphic>
              <a:graphicData uri="http://schemas.openxmlformats.org/drawingml/2006/picture">
                <pic:pic>
                  <pic:nvPicPr>
                    <pic:cNvPr descr="ssimm_desc_files/figure-docx/desc-country-1.png" id="170" name="Picture"/>
                    <pic:cNvPicPr>
                      <a:picLocks noChangeArrowheads="1" noChangeAspect="1"/>
                    </pic:cNvPicPr>
                  </pic:nvPicPr>
                  <pic:blipFill>
                    <a:blip r:embed="rId16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2" name="Picture"/>
            <a:graphic>
              <a:graphicData uri="http://schemas.openxmlformats.org/drawingml/2006/picture">
                <pic:pic>
                  <pic:nvPicPr>
                    <pic:cNvPr descr="ssimm_desc_files/figure-docx/desc-ind-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5" name="Picture"/>
            <a:graphic>
              <a:graphicData uri="http://schemas.openxmlformats.org/drawingml/2006/picture">
                <pic:pic>
                  <pic:nvPicPr>
                    <pic:cNvPr descr="ssimm_desc_files/figure-docx/policy-desc-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78" name="Picture"/>
            <a:graphic>
              <a:graphicData uri="http://schemas.openxmlformats.org/drawingml/2006/picture">
                <pic:pic>
                  <pic:nvPicPr>
                    <pic:cNvPr descr="ssimm_desc_files/figure-docx/country-map-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1" name="Picture"/>
            <a:graphic>
              <a:graphicData uri="http://schemas.openxmlformats.org/drawingml/2006/picture">
                <pic:pic>
                  <pic:nvPicPr>
                    <pic:cNvPr descr="ssimm_desc_files/figure-docx/state-map-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84" name="Picture"/>
            <a:graphic>
              <a:graphicData uri="http://schemas.openxmlformats.org/drawingml/2006/picture">
                <pic:pic>
                  <pic:nvPicPr>
                    <pic:cNvPr descr="ssimm_desc_files/figure-docx/state-sim-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bookmarkEnd w:id="186"/>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65" Target="media/rId165.png" /><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2022-10-06T02:10:28Z</dcterms:created>
  <dcterms:modified xsi:type="dcterms:W3CDTF">2022-10-06T02:10:28Z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Contrary to previous work focusing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editor_options">
    <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indent">
    <vt:lpwstr>True</vt:lpwstr>
  </property>
  <property fmtid="{D5CDD505-2E9C-101B-9397-08002B2CF9AE}" pid="11" name="link-citations">
    <vt:lpwstr>False</vt:lpwstr>
  </property>
  <property fmtid="{D5CDD505-2E9C-101B-9397-08002B2CF9AE}" pid="12" name="linkcolor">
    <vt:lpwstr>black</vt:lpwstr>
  </property>
  <property fmtid="{D5CDD505-2E9C-101B-9397-08002B2CF9AE}" pid="13" name="mainfont">
    <vt:lpwstr>Times New Roman</vt:lpwstr>
  </property>
  <property fmtid="{D5CDD505-2E9C-101B-9397-08002B2CF9AE}" pid="14" name="output">
    <vt:lpwstr/>
  </property>
</Properties>
</file>